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75" w:rsidRDefault="001C4B75" w:rsidP="001C4B75">
      <w:pPr>
        <w:spacing w:line="340" w:lineRule="exact"/>
        <w:jc w:val="left"/>
        <w:rPr>
          <w:rFonts w:ascii="黑体" w:eastAsia="黑体" w:hAnsi="黑体" w:cs="黑体"/>
          <w:sz w:val="32"/>
          <w:szCs w:val="32"/>
        </w:rPr>
      </w:pPr>
      <w:r>
        <w:rPr>
          <w:rFonts w:ascii="黑体" w:eastAsia="黑体" w:hAnsi="黑体" w:cs="黑体" w:hint="eastAsia"/>
          <w:sz w:val="32"/>
          <w:szCs w:val="32"/>
        </w:rPr>
        <w:t>附件</w:t>
      </w:r>
    </w:p>
    <w:tbl>
      <w:tblPr>
        <w:tblW w:w="0" w:type="auto"/>
        <w:jc w:val="center"/>
        <w:tblLayout w:type="fixed"/>
        <w:tblLook w:val="0000"/>
      </w:tblPr>
      <w:tblGrid>
        <w:gridCol w:w="1248"/>
        <w:gridCol w:w="2378"/>
        <w:gridCol w:w="6214"/>
      </w:tblGrid>
      <w:tr w:rsidR="001C4B75" w:rsidTr="00515819">
        <w:trPr>
          <w:trHeight w:val="397"/>
          <w:jc w:val="center"/>
        </w:trPr>
        <w:tc>
          <w:tcPr>
            <w:tcW w:w="9840" w:type="dxa"/>
            <w:gridSpan w:val="3"/>
            <w:tcBorders>
              <w:top w:val="nil"/>
              <w:left w:val="nil"/>
              <w:bottom w:val="nil"/>
              <w:right w:val="nil"/>
            </w:tcBorders>
            <w:vAlign w:val="center"/>
          </w:tcPr>
          <w:p w:rsidR="001C4B75" w:rsidRDefault="001C4B75" w:rsidP="00515819">
            <w:pPr>
              <w:widowControl/>
              <w:snapToGrid w:val="0"/>
              <w:jc w:val="center"/>
              <w:rPr>
                <w:rFonts w:ascii="方正小标宋简体" w:eastAsia="方正小标宋简体" w:hAnsi="宋体"/>
                <w:bCs/>
                <w:kern w:val="0"/>
                <w:sz w:val="32"/>
                <w:szCs w:val="32"/>
              </w:rPr>
            </w:pPr>
            <w:r>
              <w:rPr>
                <w:rFonts w:ascii="方正小标宋简体" w:eastAsia="方正小标宋简体" w:hAnsi="宋体" w:hint="eastAsia"/>
                <w:bCs/>
                <w:kern w:val="0"/>
                <w:sz w:val="32"/>
                <w:szCs w:val="32"/>
              </w:rPr>
              <w:t>青岛市政府债券公开发行承销团评分指标及计分方法</w:t>
            </w:r>
          </w:p>
        </w:tc>
      </w:tr>
      <w:tr w:rsidR="001C4B75" w:rsidTr="00515819">
        <w:trPr>
          <w:trHeight w:val="370"/>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b/>
                <w:bCs/>
                <w:kern w:val="0"/>
                <w:sz w:val="22"/>
                <w:szCs w:val="22"/>
              </w:rPr>
            </w:pPr>
            <w:r>
              <w:rPr>
                <w:rFonts w:ascii="仿宋_GB2312" w:eastAsia="仿宋_GB2312" w:hAnsi="宋体" w:hint="eastAsia"/>
                <w:b/>
                <w:bCs/>
                <w:kern w:val="0"/>
                <w:sz w:val="22"/>
                <w:szCs w:val="22"/>
              </w:rPr>
              <w:t>一级指标</w:t>
            </w:r>
          </w:p>
        </w:tc>
        <w:tc>
          <w:tcPr>
            <w:tcW w:w="2378"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b/>
                <w:bCs/>
                <w:kern w:val="0"/>
                <w:sz w:val="22"/>
                <w:szCs w:val="22"/>
              </w:rPr>
            </w:pPr>
            <w:r>
              <w:rPr>
                <w:rFonts w:ascii="仿宋_GB2312" w:eastAsia="仿宋_GB2312" w:hAnsi="宋体" w:hint="eastAsia"/>
                <w:b/>
                <w:bCs/>
                <w:kern w:val="0"/>
                <w:sz w:val="22"/>
                <w:szCs w:val="22"/>
              </w:rPr>
              <w:t>二级指标</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b/>
                <w:bCs/>
                <w:kern w:val="0"/>
                <w:sz w:val="22"/>
                <w:szCs w:val="22"/>
              </w:rPr>
            </w:pPr>
            <w:r>
              <w:rPr>
                <w:rFonts w:ascii="仿宋_GB2312" w:eastAsia="仿宋_GB2312" w:hAnsi="宋体" w:hint="eastAsia"/>
                <w:b/>
                <w:bCs/>
                <w:kern w:val="0"/>
                <w:sz w:val="22"/>
                <w:szCs w:val="22"/>
              </w:rPr>
              <w:t>计分方法</w:t>
            </w:r>
          </w:p>
        </w:tc>
      </w:tr>
      <w:tr w:rsidR="001C4B75" w:rsidTr="00515819">
        <w:trPr>
          <w:trHeight w:val="991"/>
          <w:jc w:val="center"/>
        </w:trPr>
        <w:tc>
          <w:tcPr>
            <w:tcW w:w="1248" w:type="dxa"/>
            <w:tcBorders>
              <w:top w:val="nil"/>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承销意愿</w:t>
            </w:r>
          </w:p>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（20分）</w:t>
            </w:r>
          </w:p>
        </w:tc>
        <w:tc>
          <w:tcPr>
            <w:tcW w:w="2378" w:type="dxa"/>
            <w:tcBorders>
              <w:top w:val="nil"/>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青岛市政府债券承销意愿（20分）</w:t>
            </w:r>
          </w:p>
        </w:tc>
        <w:tc>
          <w:tcPr>
            <w:tcW w:w="6214" w:type="dxa"/>
            <w:tcBorders>
              <w:top w:val="nil"/>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根据报名机构填报的对于公开发行的青岛市政府债券的意愿承销规模，从高到低排名，排名第1的得满分，其余按照20*</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1-（排名-1）/符合条件的银行类或券商类报名机构总数</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计算得分。（按银行类、券商类报名机构分别排名计分，得分四舍五入保留1位小数，下同）如报名机构填报的意愿承销规模超过其2018年净资产的20%，将按2018年净资产的20%计算得分。</w:t>
            </w:r>
          </w:p>
        </w:tc>
      </w:tr>
      <w:tr w:rsidR="001C4B75" w:rsidTr="00515819">
        <w:trPr>
          <w:cantSplit/>
          <w:trHeight w:val="816"/>
          <w:jc w:val="center"/>
        </w:trPr>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承销能力</w:t>
            </w:r>
          </w:p>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（50分）</w:t>
            </w:r>
          </w:p>
        </w:tc>
        <w:tc>
          <w:tcPr>
            <w:tcW w:w="237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记账式附息国债承销量（10分）</w:t>
            </w:r>
          </w:p>
        </w:tc>
        <w:tc>
          <w:tcPr>
            <w:tcW w:w="6214" w:type="dxa"/>
            <w:tcBorders>
              <w:top w:val="nil"/>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根据报名机构的近3年记账式附息国债承销规模，从高到低排名，排名第1的得满分，其余按与第1名的占比计算得分。</w:t>
            </w:r>
          </w:p>
        </w:tc>
      </w:tr>
      <w:tr w:rsidR="001C4B75" w:rsidTr="00515819">
        <w:trPr>
          <w:cantSplit/>
          <w:trHeight w:val="790"/>
          <w:jc w:val="center"/>
        </w:trPr>
        <w:tc>
          <w:tcPr>
            <w:tcW w:w="1248" w:type="dxa"/>
            <w:vMerge/>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全国地方政府债券承销量（20分）</w:t>
            </w:r>
          </w:p>
        </w:tc>
        <w:tc>
          <w:tcPr>
            <w:tcW w:w="6214" w:type="dxa"/>
            <w:tcBorders>
              <w:top w:val="nil"/>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根据报名机构的近3年全国地方政府债券承销规模，从高到低排名，排名第1的得满分，其余按与第1名的占比计算得分。</w:t>
            </w:r>
          </w:p>
        </w:tc>
      </w:tr>
      <w:tr w:rsidR="001C4B75" w:rsidTr="00515819">
        <w:trPr>
          <w:cantSplit/>
          <w:trHeight w:val="701"/>
          <w:jc w:val="center"/>
        </w:trPr>
        <w:tc>
          <w:tcPr>
            <w:tcW w:w="1248" w:type="dxa"/>
            <w:vMerge/>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青岛市政府债券承销量（20分）</w:t>
            </w:r>
          </w:p>
        </w:tc>
        <w:tc>
          <w:tcPr>
            <w:tcW w:w="6214" w:type="dxa"/>
            <w:tcBorders>
              <w:top w:val="nil"/>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根据报名机构的近3年青岛市政府债券承销规模，从高到低排名，排名第1的得满分，其余按与第1名的占比计算得分。</w:t>
            </w:r>
          </w:p>
        </w:tc>
      </w:tr>
      <w:tr w:rsidR="001C4B75" w:rsidTr="00515819">
        <w:trPr>
          <w:cantSplit/>
          <w:trHeight w:val="714"/>
          <w:jc w:val="center"/>
        </w:trPr>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snapToGrid w:val="0"/>
              <w:jc w:val="center"/>
              <w:rPr>
                <w:rFonts w:ascii="仿宋_GB2312" w:eastAsia="仿宋_GB2312" w:hAnsi="宋体"/>
                <w:kern w:val="0"/>
                <w:sz w:val="22"/>
                <w:szCs w:val="22"/>
              </w:rPr>
            </w:pPr>
            <w:r>
              <w:rPr>
                <w:rFonts w:ascii="仿宋_GB2312" w:eastAsia="仿宋_GB2312" w:hAnsi="宋体" w:hint="eastAsia"/>
                <w:kern w:val="0"/>
                <w:sz w:val="22"/>
                <w:szCs w:val="22"/>
              </w:rPr>
              <w:t>资本经营及风险防控状况（18分）</w:t>
            </w:r>
          </w:p>
        </w:tc>
        <w:tc>
          <w:tcPr>
            <w:tcW w:w="237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净资产（3分）</w:t>
            </w:r>
          </w:p>
        </w:tc>
        <w:tc>
          <w:tcPr>
            <w:tcW w:w="6214" w:type="dxa"/>
            <w:tcBorders>
              <w:top w:val="nil"/>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根据报名机构的净资产规模，从高到低排名，排名第1的得满分，其余按与第1名的占比计算得分。</w:t>
            </w:r>
          </w:p>
        </w:tc>
      </w:tr>
      <w:tr w:rsidR="001C4B75" w:rsidTr="00515819">
        <w:trPr>
          <w:cantSplit/>
          <w:trHeight w:val="686"/>
          <w:jc w:val="center"/>
        </w:trPr>
        <w:tc>
          <w:tcPr>
            <w:tcW w:w="1248" w:type="dxa"/>
            <w:vMerge/>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snapToGrid w:val="0"/>
              <w:jc w:val="center"/>
              <w:rPr>
                <w:rFonts w:ascii="仿宋_GB2312" w:eastAsia="仿宋_GB2312" w:hAnsi="宋体"/>
                <w:kern w:val="0"/>
                <w:sz w:val="22"/>
                <w:szCs w:val="22"/>
              </w:rPr>
            </w:pPr>
          </w:p>
        </w:tc>
        <w:tc>
          <w:tcPr>
            <w:tcW w:w="237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sz w:val="32"/>
                <w:szCs w:val="32"/>
              </w:rPr>
            </w:pPr>
            <w:r>
              <w:rPr>
                <w:rFonts w:ascii="仿宋_GB2312" w:eastAsia="仿宋_GB2312" w:hAnsi="宋体" w:hint="eastAsia"/>
                <w:kern w:val="0"/>
                <w:sz w:val="22"/>
                <w:szCs w:val="22"/>
              </w:rPr>
              <w:t>利润总额（3分）</w:t>
            </w:r>
          </w:p>
        </w:tc>
        <w:tc>
          <w:tcPr>
            <w:tcW w:w="6214" w:type="dxa"/>
            <w:tcBorders>
              <w:top w:val="nil"/>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根据报名机构的利润总额，从高到低排名，排名第1的得满分，其余按与第1名的占比计算得分。</w:t>
            </w:r>
          </w:p>
        </w:tc>
      </w:tr>
      <w:tr w:rsidR="001C4B75" w:rsidTr="00515819">
        <w:trPr>
          <w:cantSplit/>
          <w:trHeight w:val="378"/>
          <w:jc w:val="center"/>
        </w:trPr>
        <w:tc>
          <w:tcPr>
            <w:tcW w:w="1248" w:type="dxa"/>
            <w:vMerge/>
            <w:tcBorders>
              <w:left w:val="single" w:sz="4" w:space="0" w:color="000000"/>
              <w:right w:val="single" w:sz="4" w:space="0" w:color="000000"/>
            </w:tcBorders>
            <w:vAlign w:val="center"/>
          </w:tcPr>
          <w:p w:rsidR="001C4B75" w:rsidRDefault="001C4B75" w:rsidP="00515819">
            <w:pPr>
              <w:snapToGrid w:val="0"/>
              <w:jc w:val="center"/>
              <w:rPr>
                <w:rFonts w:ascii="仿宋_GB2312" w:eastAsia="仿宋_GB2312" w:hAnsi="宋体"/>
                <w:kern w:val="0"/>
                <w:sz w:val="22"/>
                <w:szCs w:val="22"/>
              </w:rPr>
            </w:pPr>
          </w:p>
        </w:tc>
        <w:tc>
          <w:tcPr>
            <w:tcW w:w="8592" w:type="dxa"/>
            <w:gridSpan w:val="2"/>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报名机构为银行，按以下3项指标评分</w:t>
            </w:r>
          </w:p>
        </w:tc>
      </w:tr>
      <w:tr w:rsidR="001C4B75" w:rsidTr="00515819">
        <w:trPr>
          <w:cantSplit/>
          <w:trHeight w:val="876"/>
          <w:jc w:val="center"/>
        </w:trPr>
        <w:tc>
          <w:tcPr>
            <w:tcW w:w="1248" w:type="dxa"/>
            <w:vMerge/>
            <w:tcBorders>
              <w:left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资本充足率（4分）</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根据报名机构的资本充足率评分，从高到低排名，排名第1的得满分，其余按照4*</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1-（排名-1）/符合条件的银行类报名机构总数</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计算得分。</w:t>
            </w:r>
          </w:p>
        </w:tc>
      </w:tr>
      <w:tr w:rsidR="001C4B75" w:rsidTr="00515819">
        <w:trPr>
          <w:cantSplit/>
          <w:trHeight w:val="685"/>
          <w:jc w:val="center"/>
        </w:trPr>
        <w:tc>
          <w:tcPr>
            <w:tcW w:w="1248" w:type="dxa"/>
            <w:vMerge/>
            <w:tcBorders>
              <w:left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不良贷款率（4分）</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根据报名机构的不良贷款率评分，从低到高排名，排名第1的得满分，其余按照4*</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1-（排名-1）/符合条件的银行类报名机构总数</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计算得分。</w:t>
            </w:r>
          </w:p>
        </w:tc>
      </w:tr>
      <w:tr w:rsidR="001C4B75" w:rsidTr="00515819">
        <w:trPr>
          <w:cantSplit/>
          <w:trHeight w:val="769"/>
          <w:jc w:val="center"/>
        </w:trPr>
        <w:tc>
          <w:tcPr>
            <w:tcW w:w="1248" w:type="dxa"/>
            <w:vMerge/>
            <w:tcBorders>
              <w:left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拨备覆盖率（4分）</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根据报名机构的拨备覆盖率评分，从高到低排名，排名第1的得满分，其余按照4*</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1-（排名-1）/符合条件的银行类报名机构总数</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计算得分。</w:t>
            </w:r>
          </w:p>
        </w:tc>
      </w:tr>
      <w:tr w:rsidR="001C4B75" w:rsidTr="00515819">
        <w:trPr>
          <w:cantSplit/>
          <w:trHeight w:val="354"/>
          <w:jc w:val="center"/>
        </w:trPr>
        <w:tc>
          <w:tcPr>
            <w:tcW w:w="1248" w:type="dxa"/>
            <w:vMerge/>
            <w:tcBorders>
              <w:left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8592" w:type="dxa"/>
            <w:gridSpan w:val="2"/>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报名机构为证券公司，按以下2项指标评分</w:t>
            </w:r>
          </w:p>
        </w:tc>
      </w:tr>
      <w:tr w:rsidR="001C4B75" w:rsidTr="00515819">
        <w:trPr>
          <w:cantSplit/>
          <w:trHeight w:val="605"/>
          <w:jc w:val="center"/>
        </w:trPr>
        <w:tc>
          <w:tcPr>
            <w:tcW w:w="1248" w:type="dxa"/>
            <w:vMerge/>
            <w:tcBorders>
              <w:left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资本杠杆率（6分）</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根据报名机构的资本杠杆率评分，从高到低排名，排名第1的得满分，其余按照6*</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1-（排名-1）/符合条件的券商类报名机构总数</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计算得分。</w:t>
            </w:r>
          </w:p>
        </w:tc>
      </w:tr>
      <w:tr w:rsidR="001C4B75" w:rsidTr="00515819">
        <w:trPr>
          <w:cantSplit/>
          <w:trHeight w:val="741"/>
          <w:jc w:val="center"/>
        </w:trPr>
        <w:tc>
          <w:tcPr>
            <w:tcW w:w="1248" w:type="dxa"/>
            <w:vMerge/>
            <w:tcBorders>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p>
        </w:tc>
        <w:tc>
          <w:tcPr>
            <w:tcW w:w="2378"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风险覆盖率（6分）</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根据报名机构的风险覆盖率评分，从高到低排名，排名第1的得满分，其余按照6*</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1-（排名-1）/符合条件的券商类报名机构总数</w:t>
            </w:r>
            <w:r>
              <w:rPr>
                <w:rFonts w:ascii="仿宋_GB2312" w:eastAsia="仿宋_GB2312" w:hAnsi="仿宋_GB2312" w:cs="仿宋_GB2312" w:hint="eastAsia"/>
                <w:kern w:val="0"/>
                <w:sz w:val="22"/>
                <w:szCs w:val="22"/>
              </w:rPr>
              <w:t>〕</w:t>
            </w:r>
            <w:r>
              <w:rPr>
                <w:rFonts w:ascii="仿宋_GB2312" w:eastAsia="仿宋_GB2312" w:hAnsi="宋体" w:hint="eastAsia"/>
                <w:kern w:val="0"/>
                <w:sz w:val="22"/>
                <w:szCs w:val="22"/>
              </w:rPr>
              <w:t>计算得分。</w:t>
            </w:r>
          </w:p>
        </w:tc>
      </w:tr>
      <w:tr w:rsidR="001C4B75" w:rsidTr="00515819">
        <w:trPr>
          <w:cantSplit/>
          <w:trHeight w:val="829"/>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其他因素（12分）</w:t>
            </w:r>
          </w:p>
        </w:tc>
        <w:tc>
          <w:tcPr>
            <w:tcW w:w="2378" w:type="dxa"/>
            <w:tcBorders>
              <w:top w:val="single" w:sz="4" w:space="0" w:color="000000"/>
              <w:left w:val="single" w:sz="4" w:space="0" w:color="000000"/>
              <w:bottom w:val="single" w:sz="4" w:space="0" w:color="000000"/>
              <w:right w:val="single" w:sz="4" w:space="0" w:color="000000"/>
            </w:tcBorders>
            <w:vAlign w:val="center"/>
          </w:tcPr>
          <w:p w:rsidR="001C4B75" w:rsidRDefault="001C4B75" w:rsidP="00515819">
            <w:pPr>
              <w:widowControl/>
              <w:snapToGrid w:val="0"/>
              <w:jc w:val="center"/>
              <w:rPr>
                <w:rFonts w:ascii="仿宋_GB2312" w:eastAsia="仿宋_GB2312" w:hAnsi="宋体"/>
                <w:kern w:val="0"/>
                <w:sz w:val="22"/>
                <w:szCs w:val="22"/>
              </w:rPr>
            </w:pPr>
            <w:r>
              <w:rPr>
                <w:rFonts w:ascii="仿宋_GB2312" w:eastAsia="仿宋_GB2312" w:hAnsi="宋体" w:hint="eastAsia"/>
                <w:kern w:val="0"/>
                <w:sz w:val="22"/>
                <w:szCs w:val="22"/>
              </w:rPr>
              <w:t>发行场所获奖情况（12分）</w:t>
            </w:r>
          </w:p>
        </w:tc>
        <w:tc>
          <w:tcPr>
            <w:tcW w:w="6214" w:type="dxa"/>
            <w:tcBorders>
              <w:top w:val="single" w:sz="4" w:space="0" w:color="000000"/>
              <w:left w:val="nil"/>
              <w:bottom w:val="single" w:sz="4" w:space="0" w:color="000000"/>
              <w:right w:val="single" w:sz="4" w:space="0" w:color="000000"/>
            </w:tcBorders>
            <w:vAlign w:val="center"/>
          </w:tcPr>
          <w:p w:rsidR="001C4B75" w:rsidRDefault="001C4B75" w:rsidP="00515819">
            <w:pPr>
              <w:widowControl/>
              <w:snapToGrid w:val="0"/>
              <w:rPr>
                <w:rFonts w:ascii="仿宋_GB2312" w:eastAsia="仿宋_GB2312" w:hAnsi="宋体"/>
                <w:kern w:val="0"/>
                <w:sz w:val="22"/>
                <w:szCs w:val="22"/>
              </w:rPr>
            </w:pPr>
            <w:r>
              <w:rPr>
                <w:rFonts w:ascii="仿宋_GB2312" w:eastAsia="仿宋_GB2312" w:hAnsi="宋体" w:hint="eastAsia"/>
                <w:kern w:val="0"/>
                <w:sz w:val="22"/>
                <w:szCs w:val="22"/>
              </w:rPr>
              <w:t>根据报名机构在中央国债登记结算有限责任公司、上海证券交易所、深圳证券交易所上年度获奖情况进行评分，各发行场所获奖情况满分为4分。</w:t>
            </w:r>
          </w:p>
        </w:tc>
      </w:tr>
    </w:tbl>
    <w:p w:rsidR="008C7EB5" w:rsidRPr="001C4B75" w:rsidRDefault="008C7EB5"/>
    <w:sectPr w:rsidR="008C7EB5" w:rsidRPr="001C4B75" w:rsidSect="008C7E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75" w:rsidRDefault="001C4B75" w:rsidP="001C4B75">
      <w:r>
        <w:separator/>
      </w:r>
    </w:p>
  </w:endnote>
  <w:endnote w:type="continuationSeparator" w:id="1">
    <w:p w:rsidR="001C4B75" w:rsidRDefault="001C4B75" w:rsidP="001C4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75" w:rsidRDefault="001C4B75" w:rsidP="001C4B75">
      <w:r>
        <w:separator/>
      </w:r>
    </w:p>
  </w:footnote>
  <w:footnote w:type="continuationSeparator" w:id="1">
    <w:p w:rsidR="001C4B75" w:rsidRDefault="001C4B75" w:rsidP="001C4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B75"/>
    <w:rsid w:val="001C4B75"/>
    <w:rsid w:val="002E28CF"/>
    <w:rsid w:val="005304BB"/>
    <w:rsid w:val="007951A3"/>
    <w:rsid w:val="008C7EB5"/>
    <w:rsid w:val="00EE4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B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4B75"/>
    <w:rPr>
      <w:sz w:val="18"/>
      <w:szCs w:val="18"/>
    </w:rPr>
  </w:style>
  <w:style w:type="paragraph" w:styleId="a4">
    <w:name w:val="footer"/>
    <w:basedOn w:val="a"/>
    <w:link w:val="Char0"/>
    <w:uiPriority w:val="99"/>
    <w:semiHidden/>
    <w:unhideWhenUsed/>
    <w:rsid w:val="001C4B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4B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WRGHO.COM</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6</cp:revision>
  <dcterms:created xsi:type="dcterms:W3CDTF">2019-12-02T08:16:00Z</dcterms:created>
  <dcterms:modified xsi:type="dcterms:W3CDTF">2019-12-02T08:18:00Z</dcterms:modified>
</cp:coreProperties>
</file>